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hanging="360"/>
        <w:jc w:val="left"/>
        <w:rPr>
          <w:rFonts w:ascii="Trebuchet MS" w:hAnsi="Trebuchet MS" w:cs="Trebuchet MS" w:eastAsia="Trebuchet MS"/>
          <w:b/>
          <w:color w:val="F79646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FFFFFF" w:val="clear"/>
        </w:rPr>
        <w:t xml:space="preserve">b)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Investigación sobre procesos de auditoría</w:t>
      </w:r>
    </w:p>
    <w:p>
      <w:pPr>
        <w:numPr>
          <w:ilvl w:val="0"/>
          <w:numId w:val="2"/>
        </w:numPr>
        <w:spacing w:before="0" w:after="200" w:line="360"/>
        <w:ind w:right="0" w:left="714" w:hanging="357"/>
        <w:jc w:val="both"/>
        <w:rPr>
          <w:rFonts w:ascii="Trebuchet MS" w:hAnsi="Trebuchet MS" w:cs="Trebuchet MS" w:eastAsia="Trebuchet MS"/>
          <w:b/>
          <w:color w:val="F79646"/>
          <w:spacing w:val="0"/>
          <w:position w:val="0"/>
          <w:sz w:val="21"/>
          <w:u w:val="thick"/>
          <w:shd w:fill="FFFFFF" w:val="clear"/>
        </w:rPr>
      </w:pPr>
      <w:r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FFFFFF" w:val="clear"/>
        </w:rPr>
        <w:t xml:space="preserve">Qué se entiende por evidencia. </w:t>
      </w:r>
    </w:p>
    <w:p>
      <w:pPr>
        <w:spacing w:before="0" w:after="200" w:line="240"/>
        <w:ind w:right="0" w:left="72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La evidencia de auditoria es la información que utiliza el auditor para determinar si la información cuantitativa o cualitativa que se está auditando, se presenta de acuerdo al criterio establecido.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rebuchet MS" w:hAnsi="Trebuchet MS" w:cs="Trebuchet MS" w:eastAsia="Trebuchet MS"/>
          <w:b/>
          <w:color w:val="F79646"/>
          <w:spacing w:val="0"/>
          <w:position w:val="0"/>
          <w:sz w:val="32"/>
          <w:u w:val="thick"/>
          <w:shd w:fill="FFFFFF" w:val="clear"/>
        </w:rPr>
      </w:pPr>
      <w:r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FFFFFF" w:val="clear"/>
        </w:rPr>
        <w:t xml:space="preserve">Cuáles son las clases de evidencias.</w:t>
      </w:r>
    </w:p>
    <w:p>
      <w:pPr>
        <w:numPr>
          <w:ilvl w:val="0"/>
          <w:numId w:val="4"/>
        </w:numPr>
        <w:spacing w:before="0" w:after="240" w:line="360"/>
        <w:ind w:right="0" w:left="1434" w:hanging="357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Evidencia Física: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muestra de materiales, mapas, fotos, etc.</w:t>
      </w:r>
    </w:p>
    <w:p>
      <w:pPr>
        <w:numPr>
          <w:ilvl w:val="0"/>
          <w:numId w:val="4"/>
        </w:numPr>
        <w:spacing w:before="0" w:after="240" w:line="360"/>
        <w:ind w:right="0" w:left="1434" w:hanging="357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Evidencia Documental: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cheques, facturas, contratos, etc.</w:t>
      </w:r>
    </w:p>
    <w:p>
      <w:pPr>
        <w:numPr>
          <w:ilvl w:val="0"/>
          <w:numId w:val="4"/>
        </w:numPr>
        <w:spacing w:before="0" w:after="240" w:line="360"/>
        <w:ind w:right="0" w:left="1434" w:hanging="357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Evidencia Testimonial: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obtenida de personas que trabajan en el negocio o que tienen relación con el mismo.</w:t>
      </w:r>
    </w:p>
    <w:p>
      <w:pPr>
        <w:numPr>
          <w:ilvl w:val="0"/>
          <w:numId w:val="4"/>
        </w:numPr>
        <w:spacing w:before="0" w:after="240" w:line="360"/>
        <w:ind w:right="0" w:left="1434" w:hanging="357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Evidencia Analítica: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datos comparativos, cálculos, etc.</w:t>
      </w:r>
    </w:p>
    <w:p>
      <w:pPr>
        <w:spacing w:before="0" w:after="200" w:line="276"/>
        <w:ind w:right="0" w:left="72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rebuchet MS" w:hAnsi="Trebuchet MS" w:cs="Trebuchet MS" w:eastAsia="Trebuchet MS"/>
          <w:b/>
          <w:color w:val="F79646"/>
          <w:spacing w:val="0"/>
          <w:position w:val="0"/>
          <w:sz w:val="32"/>
          <w:u w:val="thick"/>
          <w:shd w:fill="FFFFFF" w:val="clear"/>
        </w:rPr>
      </w:pPr>
      <w:r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FFFFFF" w:val="clear"/>
        </w:rPr>
        <w:t xml:space="preserve">Métodos para la obtención de evidencias.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rebuchet MS" w:hAnsi="Trebuchet MS" w:cs="Trebuchet MS" w:eastAsia="Trebuchet MS"/>
          <w:b/>
          <w:color w:val="F79646"/>
          <w:spacing w:val="0"/>
          <w:position w:val="0"/>
          <w:sz w:val="32"/>
          <w:u w:val="single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Verificación ocular: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Observación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: presenciar el desarrollo de procesos, procedimientos y actividades.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Verificación verbal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Indagación: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 obtener información verbal mediante charla sostenida con empleados o terceros.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Verificación escrita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Revisión: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 identificación, clasificación, y confrontación de la información.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Comprobación: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 verificar la originalidad y legalidad de los documentos que soportan las operaciones y transacciones.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Conciliación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: explicación de la diferencia entre dos cantidades que deben coincidir determinando así su validez.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Computo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: verificación de la exactitud matemática de las operaciones  mediante cálculos.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Revisión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Analítica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: explicación racional de los cambios financieros, operacionales y de las variaciones e inconsistencias presentadas.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Verificación física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FFFFFF" w:val="clear"/>
        </w:rPr>
        <w:t xml:space="preserve">Inspección: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 conteo de las partidas y constatación material de las existencias, así como de los registros y documentos.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Verificación mediante terceros</w:t>
      </w:r>
    </w:p>
    <w:p>
      <w:pPr>
        <w:numPr>
          <w:ilvl w:val="0"/>
          <w:numId w:val="7"/>
        </w:numPr>
        <w:spacing w:before="0" w:after="200" w:line="276"/>
        <w:ind w:right="0" w:left="1701" w:hanging="283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FFFFFF" w:val="clear"/>
        </w:rPr>
        <w:t xml:space="preserve">Circularización: cerciorarse por escrito de la validez de las operaciones o cifras mediante terceros que tienen relación directa con la transacción u operación auditada.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